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8D" w:rsidRPr="00421A13" w:rsidRDefault="0077128D" w:rsidP="00421A13">
      <w:pPr>
        <w:pStyle w:val="Title"/>
        <w:rPr>
          <w:color w:val="0070C0"/>
        </w:rPr>
      </w:pPr>
      <w:r w:rsidRPr="00421A13">
        <w:rPr>
          <w:color w:val="0070C0"/>
        </w:rPr>
        <w:t xml:space="preserve">SET </w:t>
      </w:r>
      <w:r w:rsidR="00813E10">
        <w:rPr>
          <w:color w:val="0070C0"/>
        </w:rPr>
        <w:t>COACHING GUIDE</w:t>
      </w:r>
      <w:bookmarkStart w:id="0" w:name="_GoBack"/>
      <w:bookmarkEnd w:id="0"/>
    </w:p>
    <w:p w:rsidR="0077128D" w:rsidRDefault="0077128D" w:rsidP="00CC4966">
      <w:pPr>
        <w:kinsoku w:val="0"/>
        <w:overflowPunct w:val="0"/>
        <w:spacing w:before="150" w:after="0" w:line="216" w:lineRule="auto"/>
        <w:textAlignment w:val="baseline"/>
        <w:rPr>
          <w:rFonts w:eastAsiaTheme="minorEastAsia" w:hAnsi="Calibri"/>
          <w:color w:val="000000" w:themeColor="text1"/>
          <w:kern w:val="24"/>
        </w:rPr>
      </w:pPr>
      <w:r w:rsidRPr="00421A13">
        <w:rPr>
          <w:rStyle w:val="Heading2Char"/>
        </w:rPr>
        <w:t>Overview:</w:t>
      </w:r>
      <w:r w:rsidR="00421A13">
        <w:rPr>
          <w:rFonts w:eastAsiaTheme="minorEastAsia" w:hAnsi="Calibri"/>
          <w:color w:val="000000" w:themeColor="text1"/>
          <w:kern w:val="24"/>
        </w:rPr>
        <w:t xml:space="preserve"> </w:t>
      </w:r>
      <w:r>
        <w:rPr>
          <w:rFonts w:eastAsiaTheme="minorEastAsia" w:hAnsi="Calibri"/>
          <w:color w:val="000000" w:themeColor="text1"/>
          <w:kern w:val="24"/>
        </w:rPr>
        <w:t xml:space="preserve"> Once the State Resource Team (SRT) has reviewed regional SET applications and selected their top four regions, one or more of the SRT members will conduct a readiness assessment site visit before submitting the final recommendations to the National SET Team.  Below is a description of the process and purpose.</w:t>
      </w:r>
    </w:p>
    <w:p w:rsidR="00CC4966" w:rsidRPr="00421A13" w:rsidRDefault="00CC4966" w:rsidP="00421A13">
      <w:pPr>
        <w:pStyle w:val="Heading1"/>
        <w:rPr>
          <w:rFonts w:eastAsiaTheme="minorEastAsia"/>
          <w:u w:val="single"/>
        </w:rPr>
      </w:pPr>
      <w:r w:rsidRPr="00421A13">
        <w:rPr>
          <w:rFonts w:eastAsiaTheme="minorEastAsia"/>
          <w:u w:val="single"/>
        </w:rPr>
        <w:t>Purpose</w:t>
      </w:r>
    </w:p>
    <w:p w:rsidR="00CC4966" w:rsidRPr="00524097" w:rsidRDefault="00CC4966" w:rsidP="00CC4966">
      <w:pPr>
        <w:pStyle w:val="ListParagraph"/>
        <w:numPr>
          <w:ilvl w:val="0"/>
          <w:numId w:val="4"/>
        </w:numPr>
      </w:pPr>
      <w:r w:rsidRPr="00524097">
        <w:t>Ensure that regions understand SET</w:t>
      </w:r>
    </w:p>
    <w:p w:rsidR="00CC4966" w:rsidRPr="00524097" w:rsidRDefault="0077128D" w:rsidP="00CC4966">
      <w:pPr>
        <w:pStyle w:val="ListParagraph"/>
        <w:numPr>
          <w:ilvl w:val="0"/>
          <w:numId w:val="4"/>
        </w:numPr>
      </w:pPr>
      <w:r>
        <w:t>Select</w:t>
      </w:r>
      <w:r w:rsidR="00CC4966" w:rsidRPr="00524097">
        <w:t xml:space="preserve"> sites that </w:t>
      </w:r>
      <w:r>
        <w:t>are most likely to benefit from the process</w:t>
      </w:r>
    </w:p>
    <w:p w:rsidR="00CC4966" w:rsidRPr="00524097" w:rsidRDefault="00CC4966" w:rsidP="00CC4966">
      <w:pPr>
        <w:pStyle w:val="ListParagraph"/>
        <w:numPr>
          <w:ilvl w:val="0"/>
          <w:numId w:val="4"/>
        </w:numPr>
      </w:pPr>
      <w:r w:rsidRPr="00524097">
        <w:t>Set expectations for the regions</w:t>
      </w:r>
    </w:p>
    <w:p w:rsidR="00CC4966" w:rsidRPr="00524097" w:rsidRDefault="00CC4966" w:rsidP="00CC4966">
      <w:pPr>
        <w:pStyle w:val="ListParagraph"/>
        <w:numPr>
          <w:ilvl w:val="0"/>
          <w:numId w:val="4"/>
        </w:numPr>
      </w:pPr>
      <w:r w:rsidRPr="00524097">
        <w:t>Help coaches prepare for working with the regions</w:t>
      </w:r>
    </w:p>
    <w:p w:rsidR="004A6271" w:rsidRPr="00421A13" w:rsidRDefault="004A6271" w:rsidP="00421A13">
      <w:pPr>
        <w:pStyle w:val="Heading1"/>
        <w:rPr>
          <w:u w:val="single"/>
        </w:rPr>
      </w:pPr>
      <w:r w:rsidRPr="00421A13">
        <w:rPr>
          <w:u w:val="single"/>
        </w:rPr>
        <w:t>Process</w:t>
      </w:r>
    </w:p>
    <w:p w:rsidR="0077128D" w:rsidRPr="0077128D" w:rsidRDefault="004A6271" w:rsidP="0077128D">
      <w:pPr>
        <w:pStyle w:val="ListParagraph"/>
        <w:numPr>
          <w:ilvl w:val="0"/>
          <w:numId w:val="4"/>
        </w:numPr>
        <w:kinsoku w:val="0"/>
        <w:overflowPunct w:val="0"/>
        <w:spacing w:after="0" w:line="216" w:lineRule="auto"/>
        <w:textAlignment w:val="baseline"/>
        <w:rPr>
          <w:rFonts w:ascii="Times New Roman" w:eastAsia="Times New Roman" w:hAnsi="Times New Roman" w:cs="Times New Roman"/>
        </w:rPr>
      </w:pPr>
      <w:r w:rsidRPr="0077128D">
        <w:t>SRT asks lead person(s) from application to arrange a meeting of all key partners</w:t>
      </w:r>
      <w:r w:rsidR="0077128D">
        <w:t xml:space="preserve">.  This should include everyone named on the application in addition to any other key leaders relevant to the region.  </w:t>
      </w:r>
    </w:p>
    <w:p w:rsidR="004A6271" w:rsidRPr="0014794C" w:rsidRDefault="004A6271" w:rsidP="0077128D">
      <w:pPr>
        <w:pStyle w:val="ListParagraph"/>
        <w:numPr>
          <w:ilvl w:val="1"/>
          <w:numId w:val="4"/>
        </w:numPr>
        <w:kinsoku w:val="0"/>
        <w:overflowPunct w:val="0"/>
        <w:spacing w:after="0" w:line="216" w:lineRule="auto"/>
        <w:textAlignment w:val="baseline"/>
        <w:rPr>
          <w:rFonts w:eastAsia="Times New Roman" w:cs="Times New Roman"/>
        </w:rPr>
      </w:pPr>
      <w:r w:rsidRPr="0014794C">
        <w:rPr>
          <w:rFonts w:eastAsiaTheme="minorEastAsia"/>
          <w:b/>
          <w:bCs/>
          <w:kern w:val="24"/>
        </w:rPr>
        <w:t xml:space="preserve">Check point #1 </w:t>
      </w:r>
      <w:r w:rsidRPr="0014794C">
        <w:rPr>
          <w:rFonts w:eastAsiaTheme="minorEastAsia"/>
          <w:kern w:val="24"/>
        </w:rPr>
        <w:t xml:space="preserve">– Can </w:t>
      </w:r>
      <w:r w:rsidR="0077128D" w:rsidRPr="0014794C">
        <w:rPr>
          <w:rFonts w:eastAsiaTheme="minorEastAsia"/>
          <w:kern w:val="24"/>
        </w:rPr>
        <w:t>the lead person(s)</w:t>
      </w:r>
      <w:r w:rsidRPr="0014794C">
        <w:rPr>
          <w:rFonts w:eastAsiaTheme="minorEastAsia"/>
          <w:kern w:val="24"/>
        </w:rPr>
        <w:t xml:space="preserve"> get the partners </w:t>
      </w:r>
      <w:r w:rsidR="0077128D" w:rsidRPr="0014794C">
        <w:rPr>
          <w:rFonts w:eastAsiaTheme="minorEastAsia"/>
          <w:kern w:val="24"/>
        </w:rPr>
        <w:t xml:space="preserve">to assemble </w:t>
      </w:r>
      <w:r w:rsidRPr="0014794C">
        <w:rPr>
          <w:rFonts w:eastAsiaTheme="minorEastAsia"/>
          <w:kern w:val="24"/>
        </w:rPr>
        <w:t>in the room?</w:t>
      </w:r>
    </w:p>
    <w:p w:rsidR="004A6271" w:rsidRPr="008D7B58" w:rsidRDefault="0077128D" w:rsidP="001E338A">
      <w:pPr>
        <w:pStyle w:val="ListParagraph"/>
        <w:numPr>
          <w:ilvl w:val="1"/>
          <w:numId w:val="4"/>
        </w:numPr>
        <w:kinsoku w:val="0"/>
        <w:overflowPunct w:val="0"/>
        <w:spacing w:after="0" w:line="216" w:lineRule="auto"/>
        <w:textAlignment w:val="baseline"/>
        <w:rPr>
          <w:rFonts w:ascii="Times New Roman" w:eastAsia="Times New Roman" w:hAnsi="Times New Roman" w:cs="Times New Roman"/>
        </w:rPr>
      </w:pPr>
      <w:r w:rsidRPr="008D7B58">
        <w:rPr>
          <w:rFonts w:eastAsiaTheme="minorEastAsia"/>
          <w:b/>
          <w:bCs/>
          <w:kern w:val="24"/>
        </w:rPr>
        <w:t>Relevance</w:t>
      </w:r>
      <w:r w:rsidRPr="008D7B58">
        <w:rPr>
          <w:rFonts w:eastAsia="Times New Roman" w:cs="Times New Roman"/>
        </w:rPr>
        <w:t xml:space="preserve"> – It is important that all key partners truly have buy-in to the work of SET.  Getting them to assemble and visit about the project is the first of several indicators of real interest.</w:t>
      </w:r>
    </w:p>
    <w:p w:rsidR="004A6271" w:rsidRDefault="004A6271" w:rsidP="004A6271">
      <w:pPr>
        <w:kinsoku w:val="0"/>
        <w:overflowPunct w:val="0"/>
        <w:spacing w:after="0" w:line="216" w:lineRule="auto"/>
        <w:textAlignment w:val="baseline"/>
        <w:rPr>
          <w:rFonts w:ascii="Times New Roman" w:eastAsia="Times New Roman" w:hAnsi="Times New Roman" w:cs="Times New Roman"/>
        </w:rPr>
      </w:pPr>
    </w:p>
    <w:p w:rsidR="004A6271" w:rsidRPr="0077128D" w:rsidRDefault="004A6271" w:rsidP="0077128D">
      <w:pPr>
        <w:pStyle w:val="ListParagraph"/>
        <w:numPr>
          <w:ilvl w:val="0"/>
          <w:numId w:val="4"/>
        </w:numPr>
      </w:pPr>
      <w:r w:rsidRPr="0077128D">
        <w:t>Coaches descri</w:t>
      </w:r>
      <w:r w:rsidR="0014794C">
        <w:t>be SET and outline expectations including the various roles that Regional SET Team will need to take</w:t>
      </w:r>
    </w:p>
    <w:p w:rsidR="004A6271" w:rsidRDefault="004A6271" w:rsidP="0014794C">
      <w:pPr>
        <w:pStyle w:val="ListParagraph"/>
        <w:numPr>
          <w:ilvl w:val="1"/>
          <w:numId w:val="4"/>
        </w:numPr>
        <w:kinsoku w:val="0"/>
        <w:overflowPunct w:val="0"/>
        <w:spacing w:after="0" w:line="216" w:lineRule="auto"/>
        <w:textAlignment w:val="baseline"/>
        <w:rPr>
          <w:rFonts w:eastAsiaTheme="minorEastAsia"/>
          <w:bCs/>
          <w:kern w:val="24"/>
        </w:rPr>
      </w:pPr>
      <w:r w:rsidRPr="0014794C">
        <w:rPr>
          <w:rFonts w:eastAsiaTheme="minorEastAsia"/>
          <w:b/>
          <w:bCs/>
          <w:kern w:val="24"/>
        </w:rPr>
        <w:t xml:space="preserve">Check point #2 – </w:t>
      </w:r>
      <w:r w:rsidR="002F183B" w:rsidRPr="0014794C">
        <w:rPr>
          <w:rFonts w:eastAsiaTheme="minorEastAsia"/>
          <w:bCs/>
          <w:kern w:val="24"/>
        </w:rPr>
        <w:t>Do the key partners understand what SET is and what it is not</w:t>
      </w:r>
      <w:r w:rsidR="0014794C">
        <w:rPr>
          <w:rFonts w:eastAsiaTheme="minorEastAsia"/>
          <w:bCs/>
          <w:kern w:val="24"/>
        </w:rPr>
        <w:t xml:space="preserve"> (i.e. SET it not a grant program)</w:t>
      </w:r>
      <w:r w:rsidR="002F183B" w:rsidRPr="0014794C">
        <w:rPr>
          <w:rFonts w:eastAsiaTheme="minorEastAsia"/>
          <w:bCs/>
          <w:kern w:val="24"/>
        </w:rPr>
        <w:t xml:space="preserve">? </w:t>
      </w:r>
      <w:r w:rsidR="0014794C">
        <w:rPr>
          <w:rFonts w:eastAsiaTheme="minorEastAsia"/>
          <w:bCs/>
          <w:kern w:val="24"/>
        </w:rPr>
        <w:t>Will they commit to the various</w:t>
      </w:r>
      <w:r w:rsidRPr="0014794C">
        <w:rPr>
          <w:rFonts w:eastAsiaTheme="minorEastAsia"/>
          <w:bCs/>
          <w:kern w:val="24"/>
        </w:rPr>
        <w:t xml:space="preserve"> roles</w:t>
      </w:r>
      <w:r w:rsidR="0014794C">
        <w:rPr>
          <w:rFonts w:eastAsiaTheme="minorEastAsia"/>
          <w:bCs/>
          <w:kern w:val="24"/>
        </w:rPr>
        <w:t xml:space="preserve"> needed to make it work</w:t>
      </w:r>
      <w:r w:rsidR="002F183B" w:rsidRPr="0014794C">
        <w:rPr>
          <w:rFonts w:eastAsiaTheme="minorEastAsia"/>
          <w:bCs/>
          <w:kern w:val="24"/>
        </w:rPr>
        <w:t>?</w:t>
      </w:r>
    </w:p>
    <w:p w:rsidR="0014794C" w:rsidRPr="0014794C" w:rsidRDefault="0014794C" w:rsidP="0014794C">
      <w:pPr>
        <w:pStyle w:val="ListParagraph"/>
        <w:numPr>
          <w:ilvl w:val="1"/>
          <w:numId w:val="4"/>
        </w:numPr>
        <w:kinsoku w:val="0"/>
        <w:overflowPunct w:val="0"/>
        <w:spacing w:after="0" w:line="216" w:lineRule="auto"/>
        <w:textAlignment w:val="baseline"/>
        <w:rPr>
          <w:rFonts w:eastAsiaTheme="minorEastAsia"/>
          <w:bCs/>
          <w:kern w:val="24"/>
        </w:rPr>
      </w:pPr>
      <w:r>
        <w:rPr>
          <w:rFonts w:eastAsiaTheme="minorEastAsia"/>
          <w:b/>
          <w:bCs/>
          <w:kern w:val="24"/>
        </w:rPr>
        <w:t>Relevance –</w:t>
      </w:r>
      <w:r>
        <w:rPr>
          <w:rFonts w:eastAsiaTheme="minorEastAsia"/>
          <w:bCs/>
          <w:kern w:val="24"/>
        </w:rPr>
        <w:t xml:space="preserve"> This sets the stage for the work ahead and helps the region understand that they own the work, not the SRT.  It garners reasonable commitment from the region to share the load of the planning process.  It also helps the SRT see if there is a willingness to take responsibility from a large percentage of the participants or if the load is only being shouldered by one or two “champions.”  One concern for the latter possibility is in what would happen if that person left the region before SET was complete.  Is there adequate buy-in from a number of different people to keep the process moving?</w:t>
      </w:r>
    </w:p>
    <w:p w:rsidR="004A6271" w:rsidRPr="0014794C" w:rsidRDefault="004A6271" w:rsidP="0014794C">
      <w:pPr>
        <w:pStyle w:val="ListParagraph"/>
        <w:numPr>
          <w:ilvl w:val="1"/>
          <w:numId w:val="4"/>
        </w:numPr>
        <w:kinsoku w:val="0"/>
        <w:overflowPunct w:val="0"/>
        <w:spacing w:after="0" w:line="216" w:lineRule="auto"/>
        <w:textAlignment w:val="baseline"/>
        <w:rPr>
          <w:rFonts w:eastAsiaTheme="minorEastAsia"/>
          <w:bCs/>
          <w:kern w:val="24"/>
        </w:rPr>
      </w:pPr>
      <w:r w:rsidRPr="0014794C">
        <w:rPr>
          <w:rFonts w:eastAsiaTheme="minorEastAsia"/>
          <w:b/>
          <w:bCs/>
          <w:kern w:val="24"/>
        </w:rPr>
        <w:t>Tools</w:t>
      </w:r>
      <w:r w:rsidRPr="0014794C">
        <w:rPr>
          <w:rFonts w:eastAsiaTheme="minorEastAsia"/>
          <w:bCs/>
          <w:kern w:val="24"/>
        </w:rPr>
        <w:t>:</w:t>
      </w:r>
    </w:p>
    <w:p w:rsidR="004A6271" w:rsidRPr="00936E9B" w:rsidRDefault="004A6271" w:rsidP="0014794C">
      <w:pPr>
        <w:numPr>
          <w:ilvl w:val="1"/>
          <w:numId w:val="11"/>
        </w:numPr>
        <w:spacing w:after="0"/>
      </w:pPr>
      <w:r w:rsidRPr="00936E9B">
        <w:t xml:space="preserve">SET </w:t>
      </w:r>
      <w:r w:rsidR="0014794C">
        <w:t>Introductory Video – SRT can show the video as an introduction to SET</w:t>
      </w:r>
    </w:p>
    <w:p w:rsidR="004A6271" w:rsidRDefault="004A6271" w:rsidP="0014794C">
      <w:pPr>
        <w:numPr>
          <w:ilvl w:val="1"/>
          <w:numId w:val="11"/>
        </w:numPr>
        <w:spacing w:after="0"/>
      </w:pPr>
      <w:r w:rsidRPr="00936E9B">
        <w:t xml:space="preserve">SET </w:t>
      </w:r>
      <w:r w:rsidR="0014794C">
        <w:t>I</w:t>
      </w:r>
      <w:r w:rsidRPr="00936E9B">
        <w:t>ntroductory PowerPoint</w:t>
      </w:r>
      <w:r w:rsidR="0014794C">
        <w:t xml:space="preserve"> – SRT can use this short PowerPoint to provide an overview of SET</w:t>
      </w:r>
    </w:p>
    <w:p w:rsidR="0014794C" w:rsidRPr="00936E9B" w:rsidRDefault="0014794C" w:rsidP="0014794C">
      <w:pPr>
        <w:numPr>
          <w:ilvl w:val="1"/>
          <w:numId w:val="11"/>
        </w:numPr>
        <w:spacing w:after="0"/>
      </w:pPr>
      <w:r w:rsidRPr="00936E9B">
        <w:t xml:space="preserve">SET </w:t>
      </w:r>
      <w:r>
        <w:t>O</w:t>
      </w:r>
      <w:r w:rsidRPr="00936E9B">
        <w:t>verview</w:t>
      </w:r>
      <w:r>
        <w:t xml:space="preserve"> Handout – This can be used as a handout to help the region follow along with the conversation</w:t>
      </w:r>
    </w:p>
    <w:p w:rsidR="004A6271" w:rsidRPr="00936E9B" w:rsidRDefault="0014794C" w:rsidP="0014794C">
      <w:pPr>
        <w:numPr>
          <w:ilvl w:val="1"/>
          <w:numId w:val="11"/>
        </w:numPr>
        <w:spacing w:after="0"/>
      </w:pPr>
      <w:r>
        <w:t>Roles and R</w:t>
      </w:r>
      <w:r w:rsidR="004A6271" w:rsidRPr="00936E9B">
        <w:t>esponsibilities</w:t>
      </w:r>
      <w:r>
        <w:t xml:space="preserve"> – This handout provides a listing of the kinds of tasks that the regional team will need to manage.  The SRT should engage the participants in a discussion of how they would manage the various tasks.</w:t>
      </w:r>
    </w:p>
    <w:p w:rsidR="004A6271" w:rsidRPr="004A6271" w:rsidRDefault="004A6271" w:rsidP="004A6271">
      <w:pPr>
        <w:pStyle w:val="ListParagraph"/>
        <w:kinsoku w:val="0"/>
        <w:overflowPunct w:val="0"/>
        <w:spacing w:after="0" w:line="216" w:lineRule="auto"/>
        <w:ind w:left="2880"/>
        <w:textAlignment w:val="baseline"/>
        <w:rPr>
          <w:rFonts w:ascii="Times New Roman" w:eastAsia="Times New Roman" w:hAnsi="Times New Roman" w:cs="Times New Roman"/>
        </w:rPr>
      </w:pPr>
    </w:p>
    <w:p w:rsidR="004A6271" w:rsidRPr="0077128D" w:rsidRDefault="004A6271" w:rsidP="0077128D">
      <w:pPr>
        <w:pStyle w:val="ListParagraph"/>
        <w:numPr>
          <w:ilvl w:val="0"/>
          <w:numId w:val="4"/>
        </w:numPr>
      </w:pPr>
      <w:r w:rsidRPr="0077128D">
        <w:t>Coaches distribute “Are We Ready” assessment followed by debrief with interview guide</w:t>
      </w:r>
    </w:p>
    <w:p w:rsidR="004A6271" w:rsidRPr="00DD4621" w:rsidRDefault="004A6271" w:rsidP="00DD4621">
      <w:pPr>
        <w:pStyle w:val="ListParagraph"/>
        <w:numPr>
          <w:ilvl w:val="1"/>
          <w:numId w:val="4"/>
        </w:numPr>
        <w:kinsoku w:val="0"/>
        <w:overflowPunct w:val="0"/>
        <w:spacing w:after="0" w:line="216" w:lineRule="auto"/>
        <w:textAlignment w:val="baseline"/>
        <w:rPr>
          <w:rFonts w:eastAsiaTheme="minorEastAsia"/>
          <w:bCs/>
          <w:kern w:val="24"/>
        </w:rPr>
      </w:pPr>
      <w:r w:rsidRPr="00DD4621">
        <w:rPr>
          <w:rFonts w:eastAsiaTheme="minorEastAsia"/>
          <w:b/>
          <w:bCs/>
          <w:kern w:val="24"/>
        </w:rPr>
        <w:t>Check point #3</w:t>
      </w:r>
      <w:r w:rsidRPr="00DD4621">
        <w:rPr>
          <w:rFonts w:eastAsiaTheme="minorEastAsia"/>
          <w:bCs/>
          <w:kern w:val="24"/>
        </w:rPr>
        <w:t xml:space="preserve"> – How do the regional participants view their readiness?</w:t>
      </w:r>
    </w:p>
    <w:p w:rsidR="00DD4621" w:rsidRDefault="00DD4621" w:rsidP="00DD4621">
      <w:pPr>
        <w:pStyle w:val="ListParagraph"/>
        <w:numPr>
          <w:ilvl w:val="1"/>
          <w:numId w:val="4"/>
        </w:numPr>
        <w:kinsoku w:val="0"/>
        <w:overflowPunct w:val="0"/>
        <w:spacing w:after="0" w:line="216" w:lineRule="auto"/>
        <w:textAlignment w:val="baseline"/>
        <w:rPr>
          <w:rFonts w:eastAsiaTheme="minorEastAsia"/>
          <w:bCs/>
          <w:kern w:val="24"/>
        </w:rPr>
      </w:pPr>
      <w:r w:rsidRPr="00DD4621">
        <w:rPr>
          <w:rFonts w:eastAsiaTheme="minorEastAsia"/>
          <w:b/>
          <w:bCs/>
          <w:kern w:val="24"/>
        </w:rPr>
        <w:t>Relevance</w:t>
      </w:r>
      <w:r>
        <w:rPr>
          <w:rFonts w:eastAsiaTheme="minorEastAsia"/>
          <w:bCs/>
          <w:kern w:val="24"/>
        </w:rPr>
        <w:t xml:space="preserve"> – First, what this assessment is NOT:  It is not an arbitrary scoring sheet wherein the region must score some particular number to “pass.”  Rather, this is simply a tool to help </w:t>
      </w:r>
      <w:r>
        <w:rPr>
          <w:rFonts w:eastAsiaTheme="minorEastAsia"/>
          <w:bCs/>
          <w:kern w:val="24"/>
        </w:rPr>
        <w:lastRenderedPageBreak/>
        <w:t xml:space="preserve">the regional participants consider their own readiness but also to gauge the varying perspectives within the group.  For instance, are they in agreement on the different elements or is there a range of answers?  Also, if they agree, but are all low, this provides a great opportunity to ask questions around how they could shore up concerns before they even begin the process.  </w:t>
      </w:r>
    </w:p>
    <w:p w:rsidR="00DD4621" w:rsidRDefault="00DD4621" w:rsidP="00DD4621">
      <w:pPr>
        <w:pStyle w:val="ListParagraph"/>
        <w:numPr>
          <w:ilvl w:val="1"/>
          <w:numId w:val="4"/>
        </w:numPr>
        <w:kinsoku w:val="0"/>
        <w:overflowPunct w:val="0"/>
        <w:spacing w:after="0" w:line="216" w:lineRule="auto"/>
        <w:textAlignment w:val="baseline"/>
        <w:rPr>
          <w:rFonts w:eastAsiaTheme="minorEastAsia"/>
          <w:bCs/>
          <w:kern w:val="24"/>
        </w:rPr>
      </w:pPr>
      <w:r w:rsidRPr="00DD4621">
        <w:rPr>
          <w:rFonts w:eastAsiaTheme="minorEastAsia"/>
          <w:b/>
          <w:bCs/>
          <w:kern w:val="24"/>
        </w:rPr>
        <w:t>Tools</w:t>
      </w:r>
      <w:r>
        <w:rPr>
          <w:rFonts w:eastAsiaTheme="minorEastAsia"/>
          <w:bCs/>
          <w:kern w:val="24"/>
        </w:rPr>
        <w:t>:</w:t>
      </w:r>
    </w:p>
    <w:p w:rsidR="00DD4621" w:rsidRDefault="00DD4621" w:rsidP="00DD4621">
      <w:pPr>
        <w:pStyle w:val="ListParagraph"/>
        <w:numPr>
          <w:ilvl w:val="2"/>
          <w:numId w:val="4"/>
        </w:numPr>
        <w:kinsoku w:val="0"/>
        <w:overflowPunct w:val="0"/>
        <w:spacing w:after="0" w:line="216" w:lineRule="auto"/>
        <w:textAlignment w:val="baseline"/>
        <w:rPr>
          <w:rFonts w:eastAsiaTheme="minorEastAsia"/>
          <w:bCs/>
          <w:kern w:val="24"/>
        </w:rPr>
      </w:pPr>
      <w:r>
        <w:rPr>
          <w:rFonts w:eastAsiaTheme="minorEastAsia"/>
          <w:bCs/>
          <w:kern w:val="24"/>
        </w:rPr>
        <w:t>Are We Ready – Self Assessment</w:t>
      </w:r>
    </w:p>
    <w:p w:rsidR="004802E6" w:rsidRDefault="00DD4621" w:rsidP="00DD4621">
      <w:pPr>
        <w:pStyle w:val="ListParagraph"/>
        <w:numPr>
          <w:ilvl w:val="3"/>
          <w:numId w:val="4"/>
        </w:numPr>
        <w:kinsoku w:val="0"/>
        <w:overflowPunct w:val="0"/>
        <w:spacing w:after="0" w:line="216" w:lineRule="auto"/>
        <w:textAlignment w:val="baseline"/>
        <w:rPr>
          <w:rFonts w:eastAsiaTheme="minorEastAsia"/>
          <w:bCs/>
          <w:kern w:val="24"/>
        </w:rPr>
      </w:pPr>
      <w:r>
        <w:rPr>
          <w:rFonts w:eastAsiaTheme="minorEastAsia"/>
          <w:bCs/>
          <w:kern w:val="24"/>
        </w:rPr>
        <w:t xml:space="preserve">Hand instrument out to all participants and ask them to fill it out individually from their own perspectives.  </w:t>
      </w:r>
      <w:r w:rsidR="004802E6" w:rsidRPr="00DD4621">
        <w:rPr>
          <w:rFonts w:eastAsiaTheme="minorEastAsia"/>
          <w:bCs/>
          <w:kern w:val="24"/>
        </w:rPr>
        <w:t>Emphasize that is very important that participants rate the</w:t>
      </w:r>
      <w:r>
        <w:rPr>
          <w:rFonts w:eastAsiaTheme="minorEastAsia"/>
          <w:bCs/>
          <w:kern w:val="24"/>
        </w:rPr>
        <w:t>ir view of the</w:t>
      </w:r>
      <w:r w:rsidR="004802E6" w:rsidRPr="00DD4621">
        <w:rPr>
          <w:rFonts w:eastAsiaTheme="minorEastAsia"/>
          <w:bCs/>
          <w:kern w:val="24"/>
        </w:rPr>
        <w:t xml:space="preserve"> actual state of the </w:t>
      </w:r>
      <w:r>
        <w:rPr>
          <w:rFonts w:eastAsiaTheme="minorEastAsia"/>
          <w:bCs/>
          <w:kern w:val="24"/>
        </w:rPr>
        <w:t>region</w:t>
      </w:r>
      <w:r w:rsidR="004802E6" w:rsidRPr="00DD4621">
        <w:rPr>
          <w:rFonts w:eastAsiaTheme="minorEastAsia"/>
          <w:bCs/>
          <w:kern w:val="24"/>
        </w:rPr>
        <w:t xml:space="preserve"> and not what they would like to see. </w:t>
      </w:r>
      <w:r>
        <w:rPr>
          <w:rFonts w:eastAsiaTheme="minorEastAsia"/>
          <w:bCs/>
          <w:kern w:val="24"/>
        </w:rPr>
        <w:t>(or what they think the SRT might want to see).  Assure them that their scores are merely discussion points,</w:t>
      </w:r>
      <w:r w:rsidR="009E7B72">
        <w:rPr>
          <w:rFonts w:eastAsiaTheme="minorEastAsia"/>
          <w:bCs/>
          <w:kern w:val="24"/>
        </w:rPr>
        <w:t xml:space="preserve"> not determinants of acceptance into SET.</w:t>
      </w:r>
    </w:p>
    <w:p w:rsidR="009E7B72" w:rsidRDefault="009E7B72" w:rsidP="00DD4621">
      <w:pPr>
        <w:pStyle w:val="ListParagraph"/>
        <w:numPr>
          <w:ilvl w:val="3"/>
          <w:numId w:val="4"/>
        </w:numPr>
        <w:kinsoku w:val="0"/>
        <w:overflowPunct w:val="0"/>
        <w:spacing w:after="0" w:line="216" w:lineRule="auto"/>
        <w:textAlignment w:val="baseline"/>
        <w:rPr>
          <w:rFonts w:eastAsiaTheme="minorEastAsia"/>
          <w:bCs/>
          <w:kern w:val="24"/>
        </w:rPr>
      </w:pPr>
      <w:r>
        <w:rPr>
          <w:rFonts w:eastAsiaTheme="minorEastAsia"/>
          <w:bCs/>
          <w:kern w:val="24"/>
        </w:rPr>
        <w:t>Report out scores as is fitting for the space and participants.  Some examples include:</w:t>
      </w:r>
    </w:p>
    <w:p w:rsidR="009E7B72" w:rsidRDefault="009E7B72" w:rsidP="009E7B72">
      <w:pPr>
        <w:pStyle w:val="ListParagraph"/>
        <w:numPr>
          <w:ilvl w:val="4"/>
          <w:numId w:val="4"/>
        </w:numPr>
        <w:kinsoku w:val="0"/>
        <w:overflowPunct w:val="0"/>
        <w:spacing w:after="0" w:line="216" w:lineRule="auto"/>
        <w:textAlignment w:val="baseline"/>
        <w:rPr>
          <w:rFonts w:eastAsiaTheme="minorEastAsia"/>
          <w:bCs/>
          <w:kern w:val="24"/>
        </w:rPr>
      </w:pPr>
      <w:r>
        <w:rPr>
          <w:rFonts w:eastAsiaTheme="minorEastAsia"/>
          <w:bCs/>
          <w:kern w:val="24"/>
        </w:rPr>
        <w:t xml:space="preserve">Forming a continuum and asking people to take their place in order by their total scores.  Discuss what concerns people with lower scores have (standing at one end of the continuum) and ask people at the higher end to respond to concerns.  </w:t>
      </w:r>
    </w:p>
    <w:p w:rsidR="009E7B72" w:rsidRPr="00DD4621" w:rsidRDefault="009E7B72" w:rsidP="009E7B72">
      <w:pPr>
        <w:pStyle w:val="ListParagraph"/>
        <w:numPr>
          <w:ilvl w:val="4"/>
          <w:numId w:val="4"/>
        </w:numPr>
        <w:kinsoku w:val="0"/>
        <w:overflowPunct w:val="0"/>
        <w:spacing w:after="0" w:line="216" w:lineRule="auto"/>
        <w:textAlignment w:val="baseline"/>
        <w:rPr>
          <w:rFonts w:eastAsiaTheme="minorEastAsia"/>
          <w:bCs/>
          <w:kern w:val="24"/>
        </w:rPr>
      </w:pPr>
      <w:r>
        <w:rPr>
          <w:rFonts w:eastAsiaTheme="minorEastAsia"/>
          <w:bCs/>
          <w:kern w:val="24"/>
        </w:rPr>
        <w:t xml:space="preserve">Ask people to share their [some number] of top strengths and [some number] of top concerns based on their scores.  See if there is any consensus on top strengths/concerns.  </w:t>
      </w:r>
    </w:p>
    <w:p w:rsidR="009E7B72" w:rsidRDefault="009E7B72" w:rsidP="009E7B72">
      <w:pPr>
        <w:pStyle w:val="ListParagraph"/>
        <w:numPr>
          <w:ilvl w:val="2"/>
          <w:numId w:val="4"/>
        </w:numPr>
        <w:kinsoku w:val="0"/>
        <w:overflowPunct w:val="0"/>
        <w:spacing w:after="0" w:line="216" w:lineRule="auto"/>
        <w:textAlignment w:val="baseline"/>
        <w:rPr>
          <w:rFonts w:eastAsiaTheme="minorEastAsia"/>
          <w:bCs/>
          <w:kern w:val="24"/>
        </w:rPr>
      </w:pPr>
      <w:r>
        <w:rPr>
          <w:rFonts w:eastAsiaTheme="minorEastAsia"/>
          <w:bCs/>
          <w:kern w:val="24"/>
        </w:rPr>
        <w:t>Are We Ready Discussion Guide</w:t>
      </w:r>
    </w:p>
    <w:p w:rsidR="004802E6" w:rsidRDefault="009E7B72" w:rsidP="009E7B72">
      <w:pPr>
        <w:pStyle w:val="ListParagraph"/>
        <w:numPr>
          <w:ilvl w:val="3"/>
          <w:numId w:val="4"/>
        </w:numPr>
        <w:kinsoku w:val="0"/>
        <w:overflowPunct w:val="0"/>
        <w:spacing w:after="0" w:line="216" w:lineRule="auto"/>
        <w:textAlignment w:val="baseline"/>
        <w:rPr>
          <w:rFonts w:eastAsiaTheme="minorEastAsia"/>
          <w:bCs/>
          <w:kern w:val="24"/>
        </w:rPr>
      </w:pPr>
      <w:r>
        <w:rPr>
          <w:rFonts w:eastAsiaTheme="minorEastAsia"/>
          <w:bCs/>
          <w:kern w:val="24"/>
        </w:rPr>
        <w:t>Use the Are We Ready Discussion Guide to lead a discussion around the various elements.  You will note that the questions follow the same themes as the self-assessment.</w:t>
      </w:r>
    </w:p>
    <w:p w:rsidR="004802E6" w:rsidRPr="004802E6" w:rsidRDefault="004802E6" w:rsidP="009E7B72">
      <w:pPr>
        <w:pStyle w:val="ListParagraph"/>
        <w:numPr>
          <w:ilvl w:val="3"/>
          <w:numId w:val="4"/>
        </w:numPr>
        <w:kinsoku w:val="0"/>
        <w:overflowPunct w:val="0"/>
        <w:spacing w:after="0" w:line="216" w:lineRule="auto"/>
        <w:textAlignment w:val="baseline"/>
      </w:pPr>
      <w:r w:rsidRPr="00DD4621">
        <w:rPr>
          <w:rFonts w:eastAsiaTheme="minorEastAsia"/>
          <w:bCs/>
          <w:kern w:val="24"/>
        </w:rPr>
        <w:t>Encourage all individuals to share their perspectives and take notes on the discussion</w:t>
      </w:r>
      <w:r>
        <w:t xml:space="preserve">. </w:t>
      </w:r>
    </w:p>
    <w:p w:rsidR="004A6271" w:rsidRPr="004A6271" w:rsidRDefault="004A6271" w:rsidP="004A6271">
      <w:pPr>
        <w:pStyle w:val="ListParagraph"/>
        <w:kinsoku w:val="0"/>
        <w:overflowPunct w:val="0"/>
        <w:spacing w:after="0" w:line="216" w:lineRule="auto"/>
        <w:textAlignment w:val="baseline"/>
        <w:rPr>
          <w:rFonts w:ascii="Times New Roman" w:eastAsia="Times New Roman" w:hAnsi="Times New Roman" w:cs="Times New Roman"/>
        </w:rPr>
      </w:pPr>
    </w:p>
    <w:p w:rsidR="004A6271" w:rsidRPr="0077128D" w:rsidRDefault="004A6271" w:rsidP="0077128D">
      <w:pPr>
        <w:pStyle w:val="ListParagraph"/>
        <w:numPr>
          <w:ilvl w:val="0"/>
          <w:numId w:val="4"/>
        </w:numPr>
      </w:pPr>
      <w:r w:rsidRPr="0077128D">
        <w:t xml:space="preserve">Coaches go on tour </w:t>
      </w:r>
      <w:r w:rsidR="008D7B58">
        <w:t xml:space="preserve">of the region </w:t>
      </w:r>
      <w:r w:rsidRPr="0077128D">
        <w:t>with members of the regional team</w:t>
      </w:r>
    </w:p>
    <w:p w:rsidR="009E7B72" w:rsidRDefault="004A6271" w:rsidP="009E7B72">
      <w:pPr>
        <w:pStyle w:val="ListParagraph"/>
        <w:numPr>
          <w:ilvl w:val="1"/>
          <w:numId w:val="4"/>
        </w:numPr>
        <w:kinsoku w:val="0"/>
        <w:overflowPunct w:val="0"/>
        <w:spacing w:after="0" w:line="216" w:lineRule="auto"/>
        <w:textAlignment w:val="baseline"/>
        <w:rPr>
          <w:rFonts w:eastAsiaTheme="minorEastAsia"/>
          <w:bCs/>
          <w:kern w:val="24"/>
        </w:rPr>
      </w:pPr>
      <w:r w:rsidRPr="009E7B72">
        <w:rPr>
          <w:rFonts w:eastAsiaTheme="minorEastAsia"/>
          <w:b/>
          <w:bCs/>
          <w:kern w:val="24"/>
        </w:rPr>
        <w:t xml:space="preserve">Check point #4 </w:t>
      </w:r>
      <w:r w:rsidRPr="009E7B72">
        <w:rPr>
          <w:rFonts w:eastAsiaTheme="minorEastAsia"/>
          <w:bCs/>
          <w:kern w:val="24"/>
        </w:rPr>
        <w:t xml:space="preserve">– Do coaches hear any </w:t>
      </w:r>
      <w:r w:rsidR="009E7B72">
        <w:rPr>
          <w:rFonts w:eastAsiaTheme="minorEastAsia"/>
          <w:bCs/>
          <w:kern w:val="24"/>
        </w:rPr>
        <w:t xml:space="preserve">opportunities or </w:t>
      </w:r>
      <w:r w:rsidRPr="009E7B72">
        <w:rPr>
          <w:rFonts w:eastAsiaTheme="minorEastAsia"/>
          <w:bCs/>
          <w:kern w:val="24"/>
        </w:rPr>
        <w:t xml:space="preserve">concerns </w:t>
      </w:r>
      <w:r w:rsidR="009E7B72">
        <w:rPr>
          <w:rFonts w:eastAsiaTheme="minorEastAsia"/>
          <w:bCs/>
          <w:kern w:val="24"/>
        </w:rPr>
        <w:t>that did not surface in their interview</w:t>
      </w:r>
      <w:r w:rsidRPr="009E7B72">
        <w:rPr>
          <w:rFonts w:eastAsiaTheme="minorEastAsia"/>
          <w:bCs/>
          <w:kern w:val="24"/>
        </w:rPr>
        <w:t>?</w:t>
      </w:r>
      <w:r w:rsidR="002F183B" w:rsidRPr="009E7B72">
        <w:rPr>
          <w:rFonts w:eastAsiaTheme="minorEastAsia"/>
          <w:bCs/>
          <w:kern w:val="24"/>
        </w:rPr>
        <w:t xml:space="preserve"> </w:t>
      </w:r>
    </w:p>
    <w:p w:rsidR="004A6271" w:rsidRPr="009E7B72" w:rsidRDefault="009E7B72" w:rsidP="009E7B72">
      <w:pPr>
        <w:pStyle w:val="ListParagraph"/>
        <w:numPr>
          <w:ilvl w:val="1"/>
          <w:numId w:val="4"/>
        </w:numPr>
        <w:kinsoku w:val="0"/>
        <w:overflowPunct w:val="0"/>
        <w:spacing w:after="0" w:line="216" w:lineRule="auto"/>
        <w:textAlignment w:val="baseline"/>
        <w:rPr>
          <w:rFonts w:eastAsiaTheme="minorEastAsia"/>
          <w:bCs/>
          <w:kern w:val="24"/>
        </w:rPr>
      </w:pPr>
      <w:r w:rsidRPr="008D7B58">
        <w:rPr>
          <w:rFonts w:eastAsiaTheme="minorEastAsia"/>
          <w:b/>
          <w:bCs/>
          <w:kern w:val="24"/>
        </w:rPr>
        <w:t>Relevance</w:t>
      </w:r>
      <w:r>
        <w:rPr>
          <w:rFonts w:eastAsiaTheme="minorEastAsia"/>
          <w:bCs/>
          <w:kern w:val="24"/>
        </w:rPr>
        <w:t xml:space="preserve"> – Sometimes in a more informal setting, people will feel more comfortable sharing both concerns and opportunities that did not surface in the more formal setting.  The tour allows for a more relaxed conversation.  Additionally, the tour helps the SRT gain a perspective of the region that will aid if the region is ultimately selected.</w:t>
      </w:r>
    </w:p>
    <w:p w:rsidR="004802E6" w:rsidRPr="009E7B72" w:rsidRDefault="004802E6" w:rsidP="004802E6">
      <w:pPr>
        <w:pStyle w:val="ListParagraph"/>
        <w:kinsoku w:val="0"/>
        <w:overflowPunct w:val="0"/>
        <w:spacing w:after="0" w:line="216" w:lineRule="auto"/>
        <w:ind w:left="2880"/>
        <w:textAlignment w:val="baseline"/>
        <w:rPr>
          <w:rFonts w:ascii="Times New Roman" w:eastAsia="Times New Roman" w:hAnsi="Times New Roman" w:cs="Times New Roman"/>
        </w:rPr>
      </w:pPr>
    </w:p>
    <w:p w:rsidR="008D7B58" w:rsidRPr="00421A13" w:rsidRDefault="008D7B58" w:rsidP="00421A13">
      <w:pPr>
        <w:pStyle w:val="Heading1"/>
        <w:rPr>
          <w:u w:val="single"/>
        </w:rPr>
      </w:pPr>
      <w:r w:rsidRPr="00421A13">
        <w:rPr>
          <w:u w:val="single"/>
        </w:rPr>
        <w:t>Report</w:t>
      </w:r>
    </w:p>
    <w:p w:rsidR="008D7B58" w:rsidRDefault="008D7B58" w:rsidP="0060163A">
      <w:pPr>
        <w:pStyle w:val="ListParagraph"/>
        <w:numPr>
          <w:ilvl w:val="0"/>
          <w:numId w:val="4"/>
        </w:numPr>
      </w:pPr>
      <w:r>
        <w:t>Complete the Coaches’ Readiness Assessment Summary for each site.</w:t>
      </w:r>
    </w:p>
    <w:p w:rsidR="0060163A" w:rsidRDefault="008D7B58" w:rsidP="0060163A">
      <w:pPr>
        <w:pStyle w:val="ListParagraph"/>
        <w:numPr>
          <w:ilvl w:val="0"/>
          <w:numId w:val="4"/>
        </w:numPr>
      </w:pPr>
      <w:r>
        <w:t xml:space="preserve">Submit </w:t>
      </w:r>
      <w:r w:rsidR="0060163A">
        <w:t xml:space="preserve">Coaches’ Readiness Assessment Summary </w:t>
      </w:r>
      <w:r>
        <w:t xml:space="preserve">along with the </w:t>
      </w:r>
      <w:r w:rsidR="0060163A">
        <w:t>SET Scoring Guidance (Excel document) for top four recommended sites.</w:t>
      </w:r>
    </w:p>
    <w:p w:rsidR="0060163A" w:rsidRDefault="0060163A" w:rsidP="0060163A">
      <w:pPr>
        <w:spacing w:after="0"/>
      </w:pPr>
    </w:p>
    <w:p w:rsidR="004802E6" w:rsidRPr="0060163A" w:rsidRDefault="004802E6" w:rsidP="0060163A">
      <w:pPr>
        <w:spacing w:after="0"/>
        <w:rPr>
          <w:u w:val="single"/>
        </w:rPr>
      </w:pPr>
      <w:r w:rsidRPr="0060163A">
        <w:rPr>
          <w:u w:val="single"/>
        </w:rPr>
        <w:t>Additional resources for understanding readiness</w:t>
      </w:r>
      <w:r w:rsidR="0060163A">
        <w:rPr>
          <w:u w:val="single"/>
        </w:rPr>
        <w:t xml:space="preserve"> assessments:</w:t>
      </w:r>
    </w:p>
    <w:p w:rsidR="004802E6" w:rsidRPr="0060163A" w:rsidRDefault="004802E6" w:rsidP="0060163A">
      <w:pPr>
        <w:pStyle w:val="ListParagraph"/>
        <w:numPr>
          <w:ilvl w:val="0"/>
          <w:numId w:val="4"/>
        </w:numPr>
        <w:rPr>
          <w:color w:val="2F5496" w:themeColor="accent5" w:themeShade="BF"/>
          <w:u w:val="single"/>
        </w:rPr>
      </w:pPr>
      <w:r>
        <w:t>Community Readiness for Community Change</w:t>
      </w:r>
      <w:r w:rsidRPr="0060163A">
        <w:t xml:space="preserve">. Available at: </w:t>
      </w:r>
      <w:hyperlink r:id="rId7" w:history="1">
        <w:r w:rsidRPr="0060163A">
          <w:rPr>
            <w:color w:val="2F5496" w:themeColor="accent5" w:themeShade="BF"/>
            <w:u w:val="single"/>
          </w:rPr>
          <w:t>http://triethniccenter.colostate.edu/docs/CR_Handbook_2014.pdf</w:t>
        </w:r>
      </w:hyperlink>
      <w:r w:rsidR="0060163A" w:rsidRPr="0060163A">
        <w:rPr>
          <w:color w:val="2F5496" w:themeColor="accent5" w:themeShade="BF"/>
          <w:u w:val="single"/>
        </w:rPr>
        <w:t xml:space="preserve"> </w:t>
      </w:r>
    </w:p>
    <w:p w:rsidR="004802E6" w:rsidRPr="0060163A" w:rsidRDefault="004802E6" w:rsidP="0060163A">
      <w:pPr>
        <w:pStyle w:val="ListParagraph"/>
        <w:numPr>
          <w:ilvl w:val="0"/>
          <w:numId w:val="4"/>
        </w:numPr>
        <w:rPr>
          <w:color w:val="2F5496" w:themeColor="accent5" w:themeShade="BF"/>
          <w:u w:val="single"/>
        </w:rPr>
      </w:pPr>
      <w:r>
        <w:t xml:space="preserve">Community Tool Box. </w:t>
      </w:r>
      <w:r w:rsidRPr="0060163A">
        <w:t xml:space="preserve">Available at: </w:t>
      </w:r>
      <w:r w:rsidRPr="0060163A">
        <w:rPr>
          <w:color w:val="2F5496" w:themeColor="accent5" w:themeShade="BF"/>
          <w:u w:val="single"/>
        </w:rPr>
        <w:t>http://ctb.ku.edu/en/table-of-contents/overview/models-for-community-health-and-development/community-readiness/main</w:t>
      </w:r>
    </w:p>
    <w:p w:rsidR="004A6271" w:rsidRDefault="004A6271" w:rsidP="00524097"/>
    <w:sectPr w:rsidR="004A6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1E" w:rsidRDefault="00086D1E" w:rsidP="0098594F">
      <w:pPr>
        <w:spacing w:after="0" w:line="240" w:lineRule="auto"/>
      </w:pPr>
      <w:r>
        <w:separator/>
      </w:r>
    </w:p>
  </w:endnote>
  <w:endnote w:type="continuationSeparator" w:id="0">
    <w:p w:rsidR="00086D1E" w:rsidRDefault="00086D1E" w:rsidP="0098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1E" w:rsidRDefault="00086D1E" w:rsidP="0098594F">
      <w:pPr>
        <w:spacing w:after="0" w:line="240" w:lineRule="auto"/>
      </w:pPr>
      <w:r>
        <w:separator/>
      </w:r>
    </w:p>
  </w:footnote>
  <w:footnote w:type="continuationSeparator" w:id="0">
    <w:p w:rsidR="00086D1E" w:rsidRDefault="00086D1E" w:rsidP="0098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3647"/>
    <w:multiLevelType w:val="hybridMultilevel"/>
    <w:tmpl w:val="E752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409EA"/>
    <w:multiLevelType w:val="hybridMultilevel"/>
    <w:tmpl w:val="644AC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F7819"/>
    <w:multiLevelType w:val="hybridMultilevel"/>
    <w:tmpl w:val="5A56FAEE"/>
    <w:lvl w:ilvl="0" w:tplc="3E98DD7A">
      <w:start w:val="1"/>
      <w:numFmt w:val="bullet"/>
      <w:lvlText w:val="•"/>
      <w:lvlJc w:val="left"/>
      <w:pPr>
        <w:tabs>
          <w:tab w:val="num" w:pos="720"/>
        </w:tabs>
        <w:ind w:left="720" w:hanging="360"/>
      </w:pPr>
      <w:rPr>
        <w:rFonts w:ascii="Arial" w:hAnsi="Arial" w:hint="default"/>
      </w:rPr>
    </w:lvl>
    <w:lvl w:ilvl="1" w:tplc="24FC5C10" w:tentative="1">
      <w:start w:val="1"/>
      <w:numFmt w:val="bullet"/>
      <w:lvlText w:val="•"/>
      <w:lvlJc w:val="left"/>
      <w:pPr>
        <w:tabs>
          <w:tab w:val="num" w:pos="1440"/>
        </w:tabs>
        <w:ind w:left="1440" w:hanging="360"/>
      </w:pPr>
      <w:rPr>
        <w:rFonts w:ascii="Arial" w:hAnsi="Arial" w:hint="default"/>
      </w:rPr>
    </w:lvl>
    <w:lvl w:ilvl="2" w:tplc="2AC8BE80" w:tentative="1">
      <w:start w:val="1"/>
      <w:numFmt w:val="bullet"/>
      <w:lvlText w:val="•"/>
      <w:lvlJc w:val="left"/>
      <w:pPr>
        <w:tabs>
          <w:tab w:val="num" w:pos="2160"/>
        </w:tabs>
        <w:ind w:left="2160" w:hanging="360"/>
      </w:pPr>
      <w:rPr>
        <w:rFonts w:ascii="Arial" w:hAnsi="Arial" w:hint="default"/>
      </w:rPr>
    </w:lvl>
    <w:lvl w:ilvl="3" w:tplc="D3D66AD2" w:tentative="1">
      <w:start w:val="1"/>
      <w:numFmt w:val="bullet"/>
      <w:lvlText w:val="•"/>
      <w:lvlJc w:val="left"/>
      <w:pPr>
        <w:tabs>
          <w:tab w:val="num" w:pos="2880"/>
        </w:tabs>
        <w:ind w:left="2880" w:hanging="360"/>
      </w:pPr>
      <w:rPr>
        <w:rFonts w:ascii="Arial" w:hAnsi="Arial" w:hint="default"/>
      </w:rPr>
    </w:lvl>
    <w:lvl w:ilvl="4" w:tplc="80527296" w:tentative="1">
      <w:start w:val="1"/>
      <w:numFmt w:val="bullet"/>
      <w:lvlText w:val="•"/>
      <w:lvlJc w:val="left"/>
      <w:pPr>
        <w:tabs>
          <w:tab w:val="num" w:pos="3600"/>
        </w:tabs>
        <w:ind w:left="3600" w:hanging="360"/>
      </w:pPr>
      <w:rPr>
        <w:rFonts w:ascii="Arial" w:hAnsi="Arial" w:hint="default"/>
      </w:rPr>
    </w:lvl>
    <w:lvl w:ilvl="5" w:tplc="40EC06BA" w:tentative="1">
      <w:start w:val="1"/>
      <w:numFmt w:val="bullet"/>
      <w:lvlText w:val="•"/>
      <w:lvlJc w:val="left"/>
      <w:pPr>
        <w:tabs>
          <w:tab w:val="num" w:pos="4320"/>
        </w:tabs>
        <w:ind w:left="4320" w:hanging="360"/>
      </w:pPr>
      <w:rPr>
        <w:rFonts w:ascii="Arial" w:hAnsi="Arial" w:hint="default"/>
      </w:rPr>
    </w:lvl>
    <w:lvl w:ilvl="6" w:tplc="7276BC6C" w:tentative="1">
      <w:start w:val="1"/>
      <w:numFmt w:val="bullet"/>
      <w:lvlText w:val="•"/>
      <w:lvlJc w:val="left"/>
      <w:pPr>
        <w:tabs>
          <w:tab w:val="num" w:pos="5040"/>
        </w:tabs>
        <w:ind w:left="5040" w:hanging="360"/>
      </w:pPr>
      <w:rPr>
        <w:rFonts w:ascii="Arial" w:hAnsi="Arial" w:hint="default"/>
      </w:rPr>
    </w:lvl>
    <w:lvl w:ilvl="7" w:tplc="EDE89DEA" w:tentative="1">
      <w:start w:val="1"/>
      <w:numFmt w:val="bullet"/>
      <w:lvlText w:val="•"/>
      <w:lvlJc w:val="left"/>
      <w:pPr>
        <w:tabs>
          <w:tab w:val="num" w:pos="5760"/>
        </w:tabs>
        <w:ind w:left="5760" w:hanging="360"/>
      </w:pPr>
      <w:rPr>
        <w:rFonts w:ascii="Arial" w:hAnsi="Arial" w:hint="default"/>
      </w:rPr>
    </w:lvl>
    <w:lvl w:ilvl="8" w:tplc="AE72FF7A" w:tentative="1">
      <w:start w:val="1"/>
      <w:numFmt w:val="bullet"/>
      <w:lvlText w:val="•"/>
      <w:lvlJc w:val="left"/>
      <w:pPr>
        <w:tabs>
          <w:tab w:val="num" w:pos="6480"/>
        </w:tabs>
        <w:ind w:left="6480" w:hanging="360"/>
      </w:pPr>
      <w:rPr>
        <w:rFonts w:ascii="Arial" w:hAnsi="Arial" w:hint="default"/>
      </w:rPr>
    </w:lvl>
  </w:abstractNum>
  <w:abstractNum w:abstractNumId="3">
    <w:nsid w:val="3FCA695F"/>
    <w:multiLevelType w:val="hybridMultilevel"/>
    <w:tmpl w:val="438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22185"/>
    <w:multiLevelType w:val="hybridMultilevel"/>
    <w:tmpl w:val="38BC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35F6"/>
    <w:multiLevelType w:val="hybridMultilevel"/>
    <w:tmpl w:val="5F6E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54088D"/>
    <w:multiLevelType w:val="hybridMultilevel"/>
    <w:tmpl w:val="9D2AF9F4"/>
    <w:lvl w:ilvl="0" w:tplc="5300B96C">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3E98DD7A">
      <w:start w:val="1"/>
      <w:numFmt w:val="bullet"/>
      <w:lvlText w:val="•"/>
      <w:lvlJc w:val="left"/>
      <w:pPr>
        <w:ind w:left="2160" w:hanging="180"/>
      </w:pPr>
      <w:rPr>
        <w:rFonts w:ascii="Arial" w:hAnsi="Aria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B670F"/>
    <w:multiLevelType w:val="hybridMultilevel"/>
    <w:tmpl w:val="E08ABC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66F804BB"/>
    <w:multiLevelType w:val="hybridMultilevel"/>
    <w:tmpl w:val="75804F66"/>
    <w:lvl w:ilvl="0" w:tplc="8D127906">
      <w:start w:val="1"/>
      <w:numFmt w:val="bullet"/>
      <w:lvlText w:val="•"/>
      <w:lvlJc w:val="left"/>
      <w:pPr>
        <w:tabs>
          <w:tab w:val="num" w:pos="720"/>
        </w:tabs>
        <w:ind w:left="720" w:hanging="360"/>
      </w:pPr>
      <w:rPr>
        <w:rFonts w:ascii="Arial" w:hAnsi="Arial" w:hint="default"/>
      </w:rPr>
    </w:lvl>
    <w:lvl w:ilvl="1" w:tplc="539CECCE">
      <w:start w:val="43"/>
      <w:numFmt w:val="bullet"/>
      <w:lvlText w:val="•"/>
      <w:lvlJc w:val="left"/>
      <w:pPr>
        <w:tabs>
          <w:tab w:val="num" w:pos="1440"/>
        </w:tabs>
        <w:ind w:left="1440" w:hanging="360"/>
      </w:pPr>
      <w:rPr>
        <w:rFonts w:ascii="Arial" w:hAnsi="Arial" w:hint="default"/>
      </w:rPr>
    </w:lvl>
    <w:lvl w:ilvl="2" w:tplc="2F44A016" w:tentative="1">
      <w:start w:val="1"/>
      <w:numFmt w:val="bullet"/>
      <w:lvlText w:val="•"/>
      <w:lvlJc w:val="left"/>
      <w:pPr>
        <w:tabs>
          <w:tab w:val="num" w:pos="2160"/>
        </w:tabs>
        <w:ind w:left="2160" w:hanging="360"/>
      </w:pPr>
      <w:rPr>
        <w:rFonts w:ascii="Arial" w:hAnsi="Arial" w:hint="default"/>
      </w:rPr>
    </w:lvl>
    <w:lvl w:ilvl="3" w:tplc="FEE64BBA" w:tentative="1">
      <w:start w:val="1"/>
      <w:numFmt w:val="bullet"/>
      <w:lvlText w:val="•"/>
      <w:lvlJc w:val="left"/>
      <w:pPr>
        <w:tabs>
          <w:tab w:val="num" w:pos="2880"/>
        </w:tabs>
        <w:ind w:left="2880" w:hanging="360"/>
      </w:pPr>
      <w:rPr>
        <w:rFonts w:ascii="Arial" w:hAnsi="Arial" w:hint="default"/>
      </w:rPr>
    </w:lvl>
    <w:lvl w:ilvl="4" w:tplc="AD86814E" w:tentative="1">
      <w:start w:val="1"/>
      <w:numFmt w:val="bullet"/>
      <w:lvlText w:val="•"/>
      <w:lvlJc w:val="left"/>
      <w:pPr>
        <w:tabs>
          <w:tab w:val="num" w:pos="3600"/>
        </w:tabs>
        <w:ind w:left="3600" w:hanging="360"/>
      </w:pPr>
      <w:rPr>
        <w:rFonts w:ascii="Arial" w:hAnsi="Arial" w:hint="default"/>
      </w:rPr>
    </w:lvl>
    <w:lvl w:ilvl="5" w:tplc="113EEEA6" w:tentative="1">
      <w:start w:val="1"/>
      <w:numFmt w:val="bullet"/>
      <w:lvlText w:val="•"/>
      <w:lvlJc w:val="left"/>
      <w:pPr>
        <w:tabs>
          <w:tab w:val="num" w:pos="4320"/>
        </w:tabs>
        <w:ind w:left="4320" w:hanging="360"/>
      </w:pPr>
      <w:rPr>
        <w:rFonts w:ascii="Arial" w:hAnsi="Arial" w:hint="default"/>
      </w:rPr>
    </w:lvl>
    <w:lvl w:ilvl="6" w:tplc="D6422DCE" w:tentative="1">
      <w:start w:val="1"/>
      <w:numFmt w:val="bullet"/>
      <w:lvlText w:val="•"/>
      <w:lvlJc w:val="left"/>
      <w:pPr>
        <w:tabs>
          <w:tab w:val="num" w:pos="5040"/>
        </w:tabs>
        <w:ind w:left="5040" w:hanging="360"/>
      </w:pPr>
      <w:rPr>
        <w:rFonts w:ascii="Arial" w:hAnsi="Arial" w:hint="default"/>
      </w:rPr>
    </w:lvl>
    <w:lvl w:ilvl="7" w:tplc="9C088682" w:tentative="1">
      <w:start w:val="1"/>
      <w:numFmt w:val="bullet"/>
      <w:lvlText w:val="•"/>
      <w:lvlJc w:val="left"/>
      <w:pPr>
        <w:tabs>
          <w:tab w:val="num" w:pos="5760"/>
        </w:tabs>
        <w:ind w:left="5760" w:hanging="360"/>
      </w:pPr>
      <w:rPr>
        <w:rFonts w:ascii="Arial" w:hAnsi="Arial" w:hint="default"/>
      </w:rPr>
    </w:lvl>
    <w:lvl w:ilvl="8" w:tplc="CD943C96" w:tentative="1">
      <w:start w:val="1"/>
      <w:numFmt w:val="bullet"/>
      <w:lvlText w:val="•"/>
      <w:lvlJc w:val="left"/>
      <w:pPr>
        <w:tabs>
          <w:tab w:val="num" w:pos="6480"/>
        </w:tabs>
        <w:ind w:left="6480" w:hanging="360"/>
      </w:pPr>
      <w:rPr>
        <w:rFonts w:ascii="Arial" w:hAnsi="Arial" w:hint="default"/>
      </w:rPr>
    </w:lvl>
  </w:abstractNum>
  <w:abstractNum w:abstractNumId="9">
    <w:nsid w:val="6D024054"/>
    <w:multiLevelType w:val="hybridMultilevel"/>
    <w:tmpl w:val="0D18A0D6"/>
    <w:lvl w:ilvl="0" w:tplc="5300B96C">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3E98DD7A">
      <w:start w:val="1"/>
      <w:numFmt w:val="bullet"/>
      <w:lvlText w:val="•"/>
      <w:lvlJc w:val="left"/>
      <w:pPr>
        <w:ind w:left="2160" w:hanging="180"/>
      </w:pPr>
      <w:rPr>
        <w:rFonts w:ascii="Arial" w:hAnsi="Aria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86A1F"/>
    <w:multiLevelType w:val="hybridMultilevel"/>
    <w:tmpl w:val="E5B28B36"/>
    <w:lvl w:ilvl="0" w:tplc="3ABA7606">
      <w:start w:val="1"/>
      <w:numFmt w:val="bullet"/>
      <w:lvlText w:val="•"/>
      <w:lvlJc w:val="left"/>
      <w:pPr>
        <w:tabs>
          <w:tab w:val="num" w:pos="720"/>
        </w:tabs>
        <w:ind w:left="720" w:hanging="360"/>
      </w:pPr>
      <w:rPr>
        <w:rFonts w:ascii="Arial" w:hAnsi="Arial" w:hint="default"/>
      </w:rPr>
    </w:lvl>
    <w:lvl w:ilvl="1" w:tplc="2918E7CE">
      <w:start w:val="43"/>
      <w:numFmt w:val="bullet"/>
      <w:lvlText w:val="•"/>
      <w:lvlJc w:val="left"/>
      <w:pPr>
        <w:tabs>
          <w:tab w:val="num" w:pos="1440"/>
        </w:tabs>
        <w:ind w:left="1440" w:hanging="360"/>
      </w:pPr>
      <w:rPr>
        <w:rFonts w:ascii="Arial" w:hAnsi="Arial" w:hint="default"/>
      </w:rPr>
    </w:lvl>
    <w:lvl w:ilvl="2" w:tplc="75443A52" w:tentative="1">
      <w:start w:val="1"/>
      <w:numFmt w:val="bullet"/>
      <w:lvlText w:val="•"/>
      <w:lvlJc w:val="left"/>
      <w:pPr>
        <w:tabs>
          <w:tab w:val="num" w:pos="2160"/>
        </w:tabs>
        <w:ind w:left="2160" w:hanging="360"/>
      </w:pPr>
      <w:rPr>
        <w:rFonts w:ascii="Arial" w:hAnsi="Arial" w:hint="default"/>
      </w:rPr>
    </w:lvl>
    <w:lvl w:ilvl="3" w:tplc="CC22AAE6" w:tentative="1">
      <w:start w:val="1"/>
      <w:numFmt w:val="bullet"/>
      <w:lvlText w:val="•"/>
      <w:lvlJc w:val="left"/>
      <w:pPr>
        <w:tabs>
          <w:tab w:val="num" w:pos="2880"/>
        </w:tabs>
        <w:ind w:left="2880" w:hanging="360"/>
      </w:pPr>
      <w:rPr>
        <w:rFonts w:ascii="Arial" w:hAnsi="Arial" w:hint="default"/>
      </w:rPr>
    </w:lvl>
    <w:lvl w:ilvl="4" w:tplc="BBD45696" w:tentative="1">
      <w:start w:val="1"/>
      <w:numFmt w:val="bullet"/>
      <w:lvlText w:val="•"/>
      <w:lvlJc w:val="left"/>
      <w:pPr>
        <w:tabs>
          <w:tab w:val="num" w:pos="3600"/>
        </w:tabs>
        <w:ind w:left="3600" w:hanging="360"/>
      </w:pPr>
      <w:rPr>
        <w:rFonts w:ascii="Arial" w:hAnsi="Arial" w:hint="default"/>
      </w:rPr>
    </w:lvl>
    <w:lvl w:ilvl="5" w:tplc="1C1E23BA" w:tentative="1">
      <w:start w:val="1"/>
      <w:numFmt w:val="bullet"/>
      <w:lvlText w:val="•"/>
      <w:lvlJc w:val="left"/>
      <w:pPr>
        <w:tabs>
          <w:tab w:val="num" w:pos="4320"/>
        </w:tabs>
        <w:ind w:left="4320" w:hanging="360"/>
      </w:pPr>
      <w:rPr>
        <w:rFonts w:ascii="Arial" w:hAnsi="Arial" w:hint="default"/>
      </w:rPr>
    </w:lvl>
    <w:lvl w:ilvl="6" w:tplc="E872E126" w:tentative="1">
      <w:start w:val="1"/>
      <w:numFmt w:val="bullet"/>
      <w:lvlText w:val="•"/>
      <w:lvlJc w:val="left"/>
      <w:pPr>
        <w:tabs>
          <w:tab w:val="num" w:pos="5040"/>
        </w:tabs>
        <w:ind w:left="5040" w:hanging="360"/>
      </w:pPr>
      <w:rPr>
        <w:rFonts w:ascii="Arial" w:hAnsi="Arial" w:hint="default"/>
      </w:rPr>
    </w:lvl>
    <w:lvl w:ilvl="7" w:tplc="0ACA4BF4" w:tentative="1">
      <w:start w:val="1"/>
      <w:numFmt w:val="bullet"/>
      <w:lvlText w:val="•"/>
      <w:lvlJc w:val="left"/>
      <w:pPr>
        <w:tabs>
          <w:tab w:val="num" w:pos="5760"/>
        </w:tabs>
        <w:ind w:left="5760" w:hanging="360"/>
      </w:pPr>
      <w:rPr>
        <w:rFonts w:ascii="Arial" w:hAnsi="Arial" w:hint="default"/>
      </w:rPr>
    </w:lvl>
    <w:lvl w:ilvl="8" w:tplc="47F0174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5"/>
  </w:num>
  <w:num w:numId="5">
    <w:abstractNumId w:val="2"/>
  </w:num>
  <w:num w:numId="6">
    <w:abstractNumId w:val="8"/>
  </w:num>
  <w:num w:numId="7">
    <w:abstractNumId w:val="1"/>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4"/>
    <w:rsid w:val="00054A56"/>
    <w:rsid w:val="00086D1E"/>
    <w:rsid w:val="000E2D75"/>
    <w:rsid w:val="0014794C"/>
    <w:rsid w:val="002F183B"/>
    <w:rsid w:val="0036124C"/>
    <w:rsid w:val="00410544"/>
    <w:rsid w:val="00421A13"/>
    <w:rsid w:val="004802E6"/>
    <w:rsid w:val="004A1374"/>
    <w:rsid w:val="004A6271"/>
    <w:rsid w:val="004C6F2E"/>
    <w:rsid w:val="00524097"/>
    <w:rsid w:val="0060163A"/>
    <w:rsid w:val="0077128D"/>
    <w:rsid w:val="007B4259"/>
    <w:rsid w:val="007C6BA5"/>
    <w:rsid w:val="00813E10"/>
    <w:rsid w:val="008D7B58"/>
    <w:rsid w:val="00936E9B"/>
    <w:rsid w:val="0098594F"/>
    <w:rsid w:val="009E7B72"/>
    <w:rsid w:val="00A47687"/>
    <w:rsid w:val="00B96172"/>
    <w:rsid w:val="00CC4966"/>
    <w:rsid w:val="00DD3455"/>
    <w:rsid w:val="00DD4621"/>
    <w:rsid w:val="00EB16CE"/>
    <w:rsid w:val="00F3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1C94D-E2B3-4D45-9690-66389AB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A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74"/>
    <w:pPr>
      <w:ind w:left="720"/>
      <w:contextualSpacing/>
    </w:pPr>
  </w:style>
  <w:style w:type="paragraph" w:styleId="Header">
    <w:name w:val="header"/>
    <w:basedOn w:val="Normal"/>
    <w:link w:val="HeaderChar"/>
    <w:uiPriority w:val="99"/>
    <w:unhideWhenUsed/>
    <w:rsid w:val="0098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4F"/>
  </w:style>
  <w:style w:type="paragraph" w:styleId="Footer">
    <w:name w:val="footer"/>
    <w:basedOn w:val="Normal"/>
    <w:link w:val="FooterChar"/>
    <w:uiPriority w:val="99"/>
    <w:unhideWhenUsed/>
    <w:rsid w:val="0098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4F"/>
  </w:style>
  <w:style w:type="paragraph" w:styleId="BalloonText">
    <w:name w:val="Balloon Text"/>
    <w:basedOn w:val="Normal"/>
    <w:link w:val="BalloonTextChar"/>
    <w:uiPriority w:val="99"/>
    <w:semiHidden/>
    <w:unhideWhenUsed/>
    <w:rsid w:val="0098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4F"/>
    <w:rPr>
      <w:rFonts w:ascii="Tahoma" w:hAnsi="Tahoma" w:cs="Tahoma"/>
      <w:sz w:val="16"/>
      <w:szCs w:val="16"/>
    </w:rPr>
  </w:style>
  <w:style w:type="paragraph" w:styleId="NormalWeb">
    <w:name w:val="Normal (Web)"/>
    <w:basedOn w:val="Normal"/>
    <w:uiPriority w:val="99"/>
    <w:semiHidden/>
    <w:unhideWhenUsed/>
    <w:rsid w:val="00524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2E6"/>
    <w:rPr>
      <w:color w:val="0563C1" w:themeColor="hyperlink"/>
      <w:u w:val="single"/>
    </w:rPr>
  </w:style>
  <w:style w:type="character" w:customStyle="1" w:styleId="Heading1Char">
    <w:name w:val="Heading 1 Char"/>
    <w:basedOn w:val="DefaultParagraphFont"/>
    <w:link w:val="Heading1"/>
    <w:uiPriority w:val="9"/>
    <w:rsid w:val="00421A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A1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21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A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2034">
      <w:bodyDiv w:val="1"/>
      <w:marLeft w:val="0"/>
      <w:marRight w:val="0"/>
      <w:marTop w:val="0"/>
      <w:marBottom w:val="0"/>
      <w:divBdr>
        <w:top w:val="none" w:sz="0" w:space="0" w:color="auto"/>
        <w:left w:val="none" w:sz="0" w:space="0" w:color="auto"/>
        <w:bottom w:val="none" w:sz="0" w:space="0" w:color="auto"/>
        <w:right w:val="none" w:sz="0" w:space="0" w:color="auto"/>
      </w:divBdr>
      <w:divsChild>
        <w:div w:id="469202666">
          <w:marLeft w:val="274"/>
          <w:marRight w:val="0"/>
          <w:marTop w:val="150"/>
          <w:marBottom w:val="0"/>
          <w:divBdr>
            <w:top w:val="none" w:sz="0" w:space="0" w:color="auto"/>
            <w:left w:val="none" w:sz="0" w:space="0" w:color="auto"/>
            <w:bottom w:val="none" w:sz="0" w:space="0" w:color="auto"/>
            <w:right w:val="none" w:sz="0" w:space="0" w:color="auto"/>
          </w:divBdr>
        </w:div>
        <w:div w:id="1182664235">
          <w:marLeft w:val="274"/>
          <w:marRight w:val="0"/>
          <w:marTop w:val="150"/>
          <w:marBottom w:val="0"/>
          <w:divBdr>
            <w:top w:val="none" w:sz="0" w:space="0" w:color="auto"/>
            <w:left w:val="none" w:sz="0" w:space="0" w:color="auto"/>
            <w:bottom w:val="none" w:sz="0" w:space="0" w:color="auto"/>
            <w:right w:val="none" w:sz="0" w:space="0" w:color="auto"/>
          </w:divBdr>
        </w:div>
        <w:div w:id="1174757980">
          <w:marLeft w:val="274"/>
          <w:marRight w:val="0"/>
          <w:marTop w:val="150"/>
          <w:marBottom w:val="0"/>
          <w:divBdr>
            <w:top w:val="none" w:sz="0" w:space="0" w:color="auto"/>
            <w:left w:val="none" w:sz="0" w:space="0" w:color="auto"/>
            <w:bottom w:val="none" w:sz="0" w:space="0" w:color="auto"/>
            <w:right w:val="none" w:sz="0" w:space="0" w:color="auto"/>
          </w:divBdr>
        </w:div>
        <w:div w:id="202863765">
          <w:marLeft w:val="274"/>
          <w:marRight w:val="0"/>
          <w:marTop w:val="150"/>
          <w:marBottom w:val="0"/>
          <w:divBdr>
            <w:top w:val="none" w:sz="0" w:space="0" w:color="auto"/>
            <w:left w:val="none" w:sz="0" w:space="0" w:color="auto"/>
            <w:bottom w:val="none" w:sz="0" w:space="0" w:color="auto"/>
            <w:right w:val="none" w:sz="0" w:space="0" w:color="auto"/>
          </w:divBdr>
        </w:div>
      </w:divsChild>
    </w:div>
    <w:div w:id="546113296">
      <w:bodyDiv w:val="1"/>
      <w:marLeft w:val="0"/>
      <w:marRight w:val="0"/>
      <w:marTop w:val="0"/>
      <w:marBottom w:val="0"/>
      <w:divBdr>
        <w:top w:val="none" w:sz="0" w:space="0" w:color="auto"/>
        <w:left w:val="none" w:sz="0" w:space="0" w:color="auto"/>
        <w:bottom w:val="none" w:sz="0" w:space="0" w:color="auto"/>
        <w:right w:val="none" w:sz="0" w:space="0" w:color="auto"/>
      </w:divBdr>
      <w:divsChild>
        <w:div w:id="1003124349">
          <w:marLeft w:val="274"/>
          <w:marRight w:val="0"/>
          <w:marTop w:val="150"/>
          <w:marBottom w:val="0"/>
          <w:divBdr>
            <w:top w:val="none" w:sz="0" w:space="0" w:color="auto"/>
            <w:left w:val="none" w:sz="0" w:space="0" w:color="auto"/>
            <w:bottom w:val="none" w:sz="0" w:space="0" w:color="auto"/>
            <w:right w:val="none" w:sz="0" w:space="0" w:color="auto"/>
          </w:divBdr>
        </w:div>
        <w:div w:id="936135525">
          <w:marLeft w:val="806"/>
          <w:marRight w:val="0"/>
          <w:marTop w:val="75"/>
          <w:marBottom w:val="0"/>
          <w:divBdr>
            <w:top w:val="none" w:sz="0" w:space="0" w:color="auto"/>
            <w:left w:val="none" w:sz="0" w:space="0" w:color="auto"/>
            <w:bottom w:val="none" w:sz="0" w:space="0" w:color="auto"/>
            <w:right w:val="none" w:sz="0" w:space="0" w:color="auto"/>
          </w:divBdr>
        </w:div>
        <w:div w:id="442572406">
          <w:marLeft w:val="274"/>
          <w:marRight w:val="0"/>
          <w:marTop w:val="150"/>
          <w:marBottom w:val="0"/>
          <w:divBdr>
            <w:top w:val="none" w:sz="0" w:space="0" w:color="auto"/>
            <w:left w:val="none" w:sz="0" w:space="0" w:color="auto"/>
            <w:bottom w:val="none" w:sz="0" w:space="0" w:color="auto"/>
            <w:right w:val="none" w:sz="0" w:space="0" w:color="auto"/>
          </w:divBdr>
        </w:div>
        <w:div w:id="376438934">
          <w:marLeft w:val="806"/>
          <w:marRight w:val="0"/>
          <w:marTop w:val="75"/>
          <w:marBottom w:val="0"/>
          <w:divBdr>
            <w:top w:val="none" w:sz="0" w:space="0" w:color="auto"/>
            <w:left w:val="none" w:sz="0" w:space="0" w:color="auto"/>
            <w:bottom w:val="none" w:sz="0" w:space="0" w:color="auto"/>
            <w:right w:val="none" w:sz="0" w:space="0" w:color="auto"/>
          </w:divBdr>
        </w:div>
        <w:div w:id="1404597504">
          <w:marLeft w:val="274"/>
          <w:marRight w:val="0"/>
          <w:marTop w:val="150"/>
          <w:marBottom w:val="0"/>
          <w:divBdr>
            <w:top w:val="none" w:sz="0" w:space="0" w:color="auto"/>
            <w:left w:val="none" w:sz="0" w:space="0" w:color="auto"/>
            <w:bottom w:val="none" w:sz="0" w:space="0" w:color="auto"/>
            <w:right w:val="none" w:sz="0" w:space="0" w:color="auto"/>
          </w:divBdr>
        </w:div>
        <w:div w:id="1630433347">
          <w:marLeft w:val="806"/>
          <w:marRight w:val="0"/>
          <w:marTop w:val="75"/>
          <w:marBottom w:val="0"/>
          <w:divBdr>
            <w:top w:val="none" w:sz="0" w:space="0" w:color="auto"/>
            <w:left w:val="none" w:sz="0" w:space="0" w:color="auto"/>
            <w:bottom w:val="none" w:sz="0" w:space="0" w:color="auto"/>
            <w:right w:val="none" w:sz="0" w:space="0" w:color="auto"/>
          </w:divBdr>
        </w:div>
        <w:div w:id="97063601">
          <w:marLeft w:val="274"/>
          <w:marRight w:val="0"/>
          <w:marTop w:val="150"/>
          <w:marBottom w:val="0"/>
          <w:divBdr>
            <w:top w:val="none" w:sz="0" w:space="0" w:color="auto"/>
            <w:left w:val="none" w:sz="0" w:space="0" w:color="auto"/>
            <w:bottom w:val="none" w:sz="0" w:space="0" w:color="auto"/>
            <w:right w:val="none" w:sz="0" w:space="0" w:color="auto"/>
          </w:divBdr>
        </w:div>
        <w:div w:id="38558350">
          <w:marLeft w:val="806"/>
          <w:marRight w:val="0"/>
          <w:marTop w:val="75"/>
          <w:marBottom w:val="0"/>
          <w:divBdr>
            <w:top w:val="none" w:sz="0" w:space="0" w:color="auto"/>
            <w:left w:val="none" w:sz="0" w:space="0" w:color="auto"/>
            <w:bottom w:val="none" w:sz="0" w:space="0" w:color="auto"/>
            <w:right w:val="none" w:sz="0" w:space="0" w:color="auto"/>
          </w:divBdr>
        </w:div>
      </w:divsChild>
    </w:div>
    <w:div w:id="959528900">
      <w:bodyDiv w:val="1"/>
      <w:marLeft w:val="0"/>
      <w:marRight w:val="0"/>
      <w:marTop w:val="0"/>
      <w:marBottom w:val="0"/>
      <w:divBdr>
        <w:top w:val="none" w:sz="0" w:space="0" w:color="auto"/>
        <w:left w:val="none" w:sz="0" w:space="0" w:color="auto"/>
        <w:bottom w:val="none" w:sz="0" w:space="0" w:color="auto"/>
        <w:right w:val="none" w:sz="0" w:space="0" w:color="auto"/>
      </w:divBdr>
      <w:divsChild>
        <w:div w:id="378894320">
          <w:marLeft w:val="274"/>
          <w:marRight w:val="0"/>
          <w:marTop w:val="150"/>
          <w:marBottom w:val="0"/>
          <w:divBdr>
            <w:top w:val="none" w:sz="0" w:space="0" w:color="auto"/>
            <w:left w:val="none" w:sz="0" w:space="0" w:color="auto"/>
            <w:bottom w:val="none" w:sz="0" w:space="0" w:color="auto"/>
            <w:right w:val="none" w:sz="0" w:space="0" w:color="auto"/>
          </w:divBdr>
        </w:div>
        <w:div w:id="1280649989">
          <w:marLeft w:val="806"/>
          <w:marRight w:val="0"/>
          <w:marTop w:val="75"/>
          <w:marBottom w:val="0"/>
          <w:divBdr>
            <w:top w:val="none" w:sz="0" w:space="0" w:color="auto"/>
            <w:left w:val="none" w:sz="0" w:space="0" w:color="auto"/>
            <w:bottom w:val="none" w:sz="0" w:space="0" w:color="auto"/>
            <w:right w:val="none" w:sz="0" w:space="0" w:color="auto"/>
          </w:divBdr>
        </w:div>
        <w:div w:id="698433116">
          <w:marLeft w:val="806"/>
          <w:marRight w:val="0"/>
          <w:marTop w:val="75"/>
          <w:marBottom w:val="0"/>
          <w:divBdr>
            <w:top w:val="none" w:sz="0" w:space="0" w:color="auto"/>
            <w:left w:val="none" w:sz="0" w:space="0" w:color="auto"/>
            <w:bottom w:val="none" w:sz="0" w:space="0" w:color="auto"/>
            <w:right w:val="none" w:sz="0" w:space="0" w:color="auto"/>
          </w:divBdr>
        </w:div>
        <w:div w:id="861671213">
          <w:marLeft w:val="274"/>
          <w:marRight w:val="0"/>
          <w:marTop w:val="150"/>
          <w:marBottom w:val="0"/>
          <w:divBdr>
            <w:top w:val="none" w:sz="0" w:space="0" w:color="auto"/>
            <w:left w:val="none" w:sz="0" w:space="0" w:color="auto"/>
            <w:bottom w:val="none" w:sz="0" w:space="0" w:color="auto"/>
            <w:right w:val="none" w:sz="0" w:space="0" w:color="auto"/>
          </w:divBdr>
        </w:div>
        <w:div w:id="1011300024">
          <w:marLeft w:val="274"/>
          <w:marRight w:val="0"/>
          <w:marTop w:val="150"/>
          <w:marBottom w:val="0"/>
          <w:divBdr>
            <w:top w:val="none" w:sz="0" w:space="0" w:color="auto"/>
            <w:left w:val="none" w:sz="0" w:space="0" w:color="auto"/>
            <w:bottom w:val="none" w:sz="0" w:space="0" w:color="auto"/>
            <w:right w:val="none" w:sz="0" w:space="0" w:color="auto"/>
          </w:divBdr>
        </w:div>
        <w:div w:id="1942452022">
          <w:marLeft w:val="274"/>
          <w:marRight w:val="0"/>
          <w:marTop w:val="150"/>
          <w:marBottom w:val="0"/>
          <w:divBdr>
            <w:top w:val="none" w:sz="0" w:space="0" w:color="auto"/>
            <w:left w:val="none" w:sz="0" w:space="0" w:color="auto"/>
            <w:bottom w:val="none" w:sz="0" w:space="0" w:color="auto"/>
            <w:right w:val="none" w:sz="0" w:space="0" w:color="auto"/>
          </w:divBdr>
        </w:div>
        <w:div w:id="53793482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ethniccenter.colostate.edu/docs/CR_Handbook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Walker</dc:creator>
  <cp:lastModifiedBy>Extension Service</cp:lastModifiedBy>
  <cp:revision>3</cp:revision>
  <dcterms:created xsi:type="dcterms:W3CDTF">2015-03-26T21:53:00Z</dcterms:created>
  <dcterms:modified xsi:type="dcterms:W3CDTF">2015-04-09T15:18:00Z</dcterms:modified>
</cp:coreProperties>
</file>